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58"/>
        <w:gridCol w:w="2622"/>
        <w:gridCol w:w="5868"/>
      </w:tblGrid>
      <w:tr w:rsidR="00897337" w:rsidRPr="00CE201F">
        <w:trPr>
          <w:jc w:val="center"/>
        </w:trPr>
        <w:tc>
          <w:tcPr>
            <w:tcW w:w="10548" w:type="dxa"/>
            <w:gridSpan w:val="3"/>
          </w:tcPr>
          <w:p w:rsidR="00897337" w:rsidRPr="00897337" w:rsidRDefault="00897337" w:rsidP="0089733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Wingdings"/>
                <w:b/>
                <w:sz w:val="32"/>
                <w:szCs w:val="32"/>
              </w:rPr>
            </w:pPr>
            <w:smartTag w:uri="urn:schemas-microsoft-com:office:smarttags" w:element="State">
              <w:smartTag w:uri="urn:schemas-microsoft-com:office:smarttags" w:element="place">
                <w:r w:rsidRPr="00897337">
                  <w:rPr>
                    <w:rFonts w:ascii="Arial" w:hAnsi="Arial" w:cs="Wingdings"/>
                    <w:b/>
                    <w:sz w:val="32"/>
                    <w:szCs w:val="32"/>
                  </w:rPr>
                  <w:t>Rhode Island</w:t>
                </w:r>
              </w:smartTag>
            </w:smartTag>
            <w:r w:rsidR="00405F9F">
              <w:rPr>
                <w:rFonts w:ascii="Arial" w:hAnsi="Arial" w:cs="Wingdings"/>
                <w:b/>
                <w:sz w:val="32"/>
                <w:szCs w:val="32"/>
              </w:rPr>
              <w:t xml:space="preserve"> Unit of Study Rubric</w:t>
            </w:r>
          </w:p>
        </w:tc>
      </w:tr>
      <w:tr w:rsidR="00897337" w:rsidRPr="00D20447">
        <w:trPr>
          <w:jc w:val="center"/>
        </w:trPr>
        <w:tc>
          <w:tcPr>
            <w:tcW w:w="2058" w:type="dxa"/>
            <w:vAlign w:val="center"/>
          </w:tcPr>
          <w:p w:rsidR="001C4C2D" w:rsidRDefault="00897337" w:rsidP="001C4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Integration</w:t>
            </w:r>
          </w:p>
          <w:p w:rsidR="001C4C2D" w:rsidRDefault="00897337" w:rsidP="001C4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of</w:t>
            </w:r>
          </w:p>
          <w:p w:rsidR="00897337" w:rsidRPr="00D20447" w:rsidRDefault="00897337" w:rsidP="001C4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 w:rsidRPr="00D20447">
              <w:rPr>
                <w:rFonts w:ascii="Times-Bold" w:hAnsi="Times-Bold" w:cs="Times-Bold"/>
                <w:b/>
                <w:bCs/>
                <w:sz w:val="28"/>
                <w:szCs w:val="28"/>
              </w:rPr>
              <w:t>Technology</w:t>
            </w:r>
          </w:p>
          <w:p w:rsidR="00897337" w:rsidRPr="00D20447" w:rsidRDefault="00897337" w:rsidP="00897337">
            <w:pPr>
              <w:spacing w:after="0" w:line="240" w:lineRule="auto"/>
              <w:jc w:val="center"/>
            </w:pPr>
          </w:p>
        </w:tc>
        <w:tc>
          <w:tcPr>
            <w:tcW w:w="2622" w:type="dxa"/>
            <w:vAlign w:val="center"/>
          </w:tcPr>
          <w:p w:rsidR="00897337" w:rsidRPr="008463AE" w:rsidRDefault="00897337" w:rsidP="00D226AC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TimesNewRomanPSMT"/>
                <w:sz w:val="20"/>
                <w:szCs w:val="20"/>
              </w:rPr>
            </w:pPr>
            <w:r w:rsidRPr="008F0C3A">
              <w:rPr>
                <w:rFonts w:ascii="Arial" w:hAnsi="Arial"/>
                <w:sz w:val="20"/>
                <w:szCs w:val="20"/>
              </w:rPr>
              <w:t xml:space="preserve">Student centered use of </w:t>
            </w: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 w:cs="TimesNewRomanPSMT"/>
                <w:sz w:val="20"/>
                <w:szCs w:val="20"/>
              </w:rPr>
              <w:t xml:space="preserve">echnology is appropriately integrated as a vehicle to contribute to </w:t>
            </w:r>
            <w:r w:rsidRPr="008F0C3A">
              <w:rPr>
                <w:rFonts w:ascii="Arial" w:hAnsi="Arial" w:cs="TimesNewRomanPSMT"/>
                <w:sz w:val="20"/>
                <w:szCs w:val="20"/>
              </w:rPr>
              <w:t xml:space="preserve">student </w:t>
            </w:r>
            <w:r>
              <w:rPr>
                <w:rFonts w:ascii="Arial" w:hAnsi="Arial" w:cs="TimesNewRomanPSMT"/>
                <w:sz w:val="20"/>
                <w:szCs w:val="20"/>
              </w:rPr>
              <w:t>learning</w:t>
            </w:r>
            <w:r w:rsidRPr="008F0C3A">
              <w:rPr>
                <w:rFonts w:ascii="Arial" w:hAnsi="Arial" w:cs="TimesNewRomanPSMT"/>
                <w:sz w:val="20"/>
                <w:szCs w:val="20"/>
              </w:rPr>
              <w:t>.</w:t>
            </w:r>
          </w:p>
        </w:tc>
        <w:tc>
          <w:tcPr>
            <w:tcW w:w="5868" w:type="dxa"/>
            <w:vAlign w:val="center"/>
          </w:tcPr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</w:p>
          <w:p w:rsidR="00897337" w:rsidRPr="008F0C3A" w:rsidRDefault="008463AE" w:rsidP="00D226AC">
            <w:pPr>
              <w:numPr>
                <w:ilvl w:val="0"/>
                <w:numId w:val="2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1C4C2D">
              <w:rPr>
                <w:rFonts w:ascii="Arial" w:hAnsi="Arial" w:cs="Times-Roman"/>
                <w:b/>
                <w:sz w:val="20"/>
                <w:szCs w:val="20"/>
              </w:rPr>
              <w:t>Practitioner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– T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 xml:space="preserve">he </w:t>
            </w:r>
            <w:r w:rsidR="00897337">
              <w:rPr>
                <w:rFonts w:ascii="Arial" w:hAnsi="Arial" w:cs="Times-Roman"/>
                <w:sz w:val="20"/>
                <w:szCs w:val="20"/>
              </w:rPr>
              <w:t xml:space="preserve">student-centered 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use of technology significantly</w:t>
            </w:r>
            <w:r w:rsidR="00897337">
              <w:rPr>
                <w:rFonts w:ascii="Arial" w:hAnsi="Arial" w:cs="Times-Roman"/>
                <w:sz w:val="20"/>
                <w:szCs w:val="20"/>
              </w:rPr>
              <w:t xml:space="preserve"> contributes to the student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s</w:t>
            </w:r>
            <w:r w:rsidR="00897337">
              <w:rPr>
                <w:rFonts w:ascii="Arial" w:hAnsi="Arial" w:cs="Times-Roman"/>
                <w:sz w:val="20"/>
                <w:szCs w:val="20"/>
              </w:rPr>
              <w:t>’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 xml:space="preserve"> learning.</w:t>
            </w:r>
          </w:p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Pr="008F0C3A" w:rsidRDefault="00897337" w:rsidP="00D226AC">
            <w:pPr>
              <w:numPr>
                <w:ilvl w:val="0"/>
                <w:numId w:val="2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1C4C2D">
              <w:rPr>
                <w:rFonts w:ascii="Arial" w:hAnsi="Arial" w:cs="Times-Roman"/>
                <w:b/>
                <w:sz w:val="20"/>
                <w:szCs w:val="20"/>
              </w:rPr>
              <w:t>Apprentice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T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he 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student-centered 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use of technology 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only 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moderately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contributes to the student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s</w:t>
            </w:r>
            <w:r>
              <w:rPr>
                <w:rFonts w:ascii="Arial" w:hAnsi="Arial" w:cs="Times-Roman"/>
                <w:sz w:val="20"/>
                <w:szCs w:val="20"/>
              </w:rPr>
              <w:t>’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 learning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and/or technology use is not student-centered.</w:t>
            </w:r>
          </w:p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Pr="008F0C3A" w:rsidRDefault="008463AE" w:rsidP="00D226AC">
            <w:pPr>
              <w:numPr>
                <w:ilvl w:val="0"/>
                <w:numId w:val="2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1C4C2D">
              <w:rPr>
                <w:rFonts w:ascii="Arial" w:hAnsi="Arial" w:cs="Times-Roman"/>
                <w:b/>
                <w:sz w:val="20"/>
                <w:szCs w:val="20"/>
              </w:rPr>
              <w:t>Novice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– T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 xml:space="preserve">he use of technology 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makes </w:t>
            </w:r>
            <w:r>
              <w:rPr>
                <w:rFonts w:ascii="Arial" w:hAnsi="Arial" w:cs="Times-Roman"/>
                <w:sz w:val="20"/>
                <w:szCs w:val="20"/>
              </w:rPr>
              <w:t>little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 attempt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to </w:t>
            </w:r>
            <w:r>
              <w:rPr>
                <w:rFonts w:ascii="Arial" w:hAnsi="Arial" w:cs="Times-Roman"/>
                <w:sz w:val="20"/>
                <w:szCs w:val="20"/>
              </w:rPr>
              <w:t>contribute to the student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s</w:t>
            </w:r>
            <w:r>
              <w:rPr>
                <w:rFonts w:ascii="Arial" w:hAnsi="Arial" w:cs="Times-Roman"/>
                <w:sz w:val="20"/>
                <w:szCs w:val="20"/>
              </w:rPr>
              <w:t>’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 learning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and/or is not student-centered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.</w:t>
            </w:r>
          </w:p>
          <w:p w:rsidR="00897337" w:rsidRPr="008463AE" w:rsidRDefault="00897337" w:rsidP="00D226AC">
            <w:pPr>
              <w:tabs>
                <w:tab w:val="left" w:pos="486"/>
              </w:tabs>
              <w:spacing w:after="0" w:line="240" w:lineRule="auto"/>
              <w:ind w:left="486" w:hanging="360"/>
              <w:rPr>
                <w:rFonts w:ascii="Arial" w:hAnsi="Arial"/>
                <w:sz w:val="16"/>
                <w:szCs w:val="16"/>
              </w:rPr>
            </w:pPr>
          </w:p>
        </w:tc>
      </w:tr>
      <w:tr w:rsidR="00897337" w:rsidRPr="00D20447">
        <w:trPr>
          <w:jc w:val="center"/>
        </w:trPr>
        <w:tc>
          <w:tcPr>
            <w:tcW w:w="2058" w:type="dxa"/>
            <w:vAlign w:val="center"/>
          </w:tcPr>
          <w:p w:rsidR="00897337" w:rsidRPr="00D20447" w:rsidRDefault="00897337" w:rsidP="00897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Instruction</w:t>
            </w:r>
          </w:p>
          <w:p w:rsidR="00897337" w:rsidRPr="00D20447" w:rsidRDefault="00897337" w:rsidP="00897337">
            <w:pPr>
              <w:spacing w:after="0" w:line="240" w:lineRule="auto"/>
              <w:jc w:val="center"/>
            </w:pPr>
          </w:p>
        </w:tc>
        <w:tc>
          <w:tcPr>
            <w:tcW w:w="2622" w:type="dxa"/>
            <w:vAlign w:val="center"/>
          </w:tcPr>
          <w:p w:rsidR="009F7E9D" w:rsidRDefault="00897337" w:rsidP="00D226AC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/>
                <w:sz w:val="20"/>
                <w:szCs w:val="20"/>
              </w:rPr>
            </w:pPr>
            <w:r w:rsidRPr="008F0C3A">
              <w:rPr>
                <w:rFonts w:ascii="Arial" w:hAnsi="Arial"/>
                <w:sz w:val="20"/>
                <w:szCs w:val="20"/>
              </w:rPr>
              <w:t>DOK</w:t>
            </w:r>
            <w:r>
              <w:rPr>
                <w:rFonts w:ascii="Arial" w:hAnsi="Arial"/>
                <w:sz w:val="20"/>
                <w:szCs w:val="20"/>
              </w:rPr>
              <w:t xml:space="preserve">: </w:t>
            </w:r>
            <w:r w:rsidR="009F7E9D">
              <w:rPr>
                <w:rFonts w:ascii="Arial" w:hAnsi="Arial"/>
                <w:sz w:val="20"/>
                <w:szCs w:val="20"/>
              </w:rPr>
              <w:t>at a level</w:t>
            </w:r>
          </w:p>
          <w:p w:rsidR="00897337" w:rsidRDefault="009F7E9D" w:rsidP="00D226AC">
            <w:pPr>
              <w:autoSpaceDE w:val="0"/>
              <w:autoSpaceDN w:val="0"/>
              <w:adjustRightInd w:val="0"/>
              <w:spacing w:after="0" w:line="240" w:lineRule="auto"/>
              <w:ind w:left="408" w:hanging="3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ab/>
            </w:r>
            <w:r w:rsidR="00897337">
              <w:rPr>
                <w:rFonts w:ascii="Arial" w:hAnsi="Arial"/>
                <w:sz w:val="20"/>
                <w:szCs w:val="20"/>
              </w:rPr>
              <w:t>of 3 or 4</w:t>
            </w:r>
          </w:p>
          <w:p w:rsidR="001C4C2D" w:rsidRPr="008463AE" w:rsidRDefault="001C4C2D" w:rsidP="001C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  <w:p w:rsidR="00897337" w:rsidRDefault="00897337" w:rsidP="00D226AC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/>
                <w:sz w:val="20"/>
                <w:szCs w:val="20"/>
              </w:rPr>
            </w:pPr>
            <w:r w:rsidRPr="008F0C3A">
              <w:rPr>
                <w:rFonts w:ascii="Arial" w:hAnsi="Arial" w:cs="Symbol"/>
                <w:sz w:val="20"/>
                <w:szCs w:val="20"/>
              </w:rPr>
              <w:t></w:t>
            </w:r>
            <w:r>
              <w:rPr>
                <w:rFonts w:ascii="Arial" w:hAnsi="Arial" w:cs="Symbol"/>
                <w:sz w:val="20"/>
                <w:szCs w:val="20"/>
              </w:rPr>
              <w:t xml:space="preserve">DI: Students were allowed to control one of the following components: content, process, or product. </w:t>
            </w:r>
          </w:p>
          <w:p w:rsidR="00897337" w:rsidRPr="008F0C3A" w:rsidRDefault="00897337" w:rsidP="00D226AC">
            <w:pPr>
              <w:spacing w:after="0" w:line="240" w:lineRule="auto"/>
              <w:ind w:left="408" w:hanging="360"/>
              <w:rPr>
                <w:rFonts w:ascii="Arial" w:hAnsi="Arial"/>
                <w:sz w:val="20"/>
              </w:rPr>
            </w:pPr>
          </w:p>
        </w:tc>
        <w:tc>
          <w:tcPr>
            <w:tcW w:w="5868" w:type="dxa"/>
            <w:vAlign w:val="center"/>
          </w:tcPr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</w:p>
          <w:p w:rsidR="00897337" w:rsidRPr="008F0C3A" w:rsidRDefault="008463AE" w:rsidP="00D226AC">
            <w:pPr>
              <w:numPr>
                <w:ilvl w:val="0"/>
                <w:numId w:val="4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1C4C2D">
              <w:rPr>
                <w:rFonts w:ascii="Arial" w:hAnsi="Arial" w:cs="Times-Roman"/>
                <w:b/>
                <w:sz w:val="20"/>
                <w:szCs w:val="20"/>
              </w:rPr>
              <w:t>Practitioner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– The </w:t>
            </w:r>
            <w:r w:rsidR="00897337">
              <w:rPr>
                <w:rFonts w:ascii="Arial" w:hAnsi="Arial" w:cs="Times-Roman"/>
                <w:sz w:val="20"/>
                <w:szCs w:val="20"/>
              </w:rPr>
              <w:t>Unit of Study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 xml:space="preserve"> is expertly written and require</w:t>
            </w:r>
            <w:r w:rsidR="00897337">
              <w:rPr>
                <w:rFonts w:ascii="Arial" w:hAnsi="Arial" w:cs="Times-Roman"/>
                <w:sz w:val="20"/>
                <w:szCs w:val="20"/>
              </w:rPr>
              <w:t>s the student to develop a differentiated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, significantly rigorous plan or course of action.</w:t>
            </w:r>
          </w:p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Pr="008F0C3A" w:rsidRDefault="00897337" w:rsidP="00D226AC">
            <w:pPr>
              <w:numPr>
                <w:ilvl w:val="0"/>
                <w:numId w:val="4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  <w:r w:rsidR="008463AE" w:rsidRPr="001C4C2D">
              <w:rPr>
                <w:rFonts w:ascii="Arial" w:hAnsi="Arial" w:cs="Times-Roman"/>
                <w:b/>
                <w:sz w:val="20"/>
                <w:szCs w:val="20"/>
              </w:rPr>
              <w:t>Apprentice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The </w:t>
            </w:r>
            <w:r>
              <w:rPr>
                <w:rFonts w:ascii="Arial" w:hAnsi="Arial" w:cs="Times-Roman"/>
                <w:sz w:val="20"/>
                <w:szCs w:val="20"/>
              </w:rPr>
              <w:t>Unit of Study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 is adequately written and require</w:t>
            </w:r>
            <w:r>
              <w:rPr>
                <w:rFonts w:ascii="Arial" w:hAnsi="Arial" w:cs="Times-Roman"/>
                <w:sz w:val="20"/>
                <w:szCs w:val="20"/>
              </w:rPr>
              <w:t>s the student to develop a differentiated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, moderately rigorous plan or course of action.</w:t>
            </w:r>
          </w:p>
          <w:p w:rsidR="00897337" w:rsidRPr="008463AE" w:rsidRDefault="00897337" w:rsidP="00D226AC">
            <w:pPr>
              <w:tabs>
                <w:tab w:val="left" w:pos="486"/>
              </w:tabs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Default="00897337" w:rsidP="00D226AC">
            <w:pPr>
              <w:numPr>
                <w:ilvl w:val="0"/>
                <w:numId w:val="4"/>
              </w:numPr>
              <w:tabs>
                <w:tab w:val="left" w:pos="486"/>
              </w:tabs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  <w:r w:rsidR="008463AE" w:rsidRPr="001C4C2D">
              <w:rPr>
                <w:rFonts w:ascii="Arial" w:hAnsi="Arial" w:cs="Times-Roman"/>
                <w:b/>
                <w:sz w:val="20"/>
                <w:szCs w:val="20"/>
              </w:rPr>
              <w:t>Novice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The </w:t>
            </w:r>
            <w:r>
              <w:rPr>
                <w:rFonts w:ascii="Arial" w:hAnsi="Arial" w:cs="Times-Roman"/>
                <w:sz w:val="20"/>
                <w:szCs w:val="20"/>
              </w:rPr>
              <w:t>Unit of Study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 is loosely written and does not requir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e the student to develop a differentiated 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or rigorous plan or course of action.</w:t>
            </w:r>
          </w:p>
          <w:p w:rsidR="00897337" w:rsidRPr="008463AE" w:rsidRDefault="00897337" w:rsidP="00D226AC">
            <w:pPr>
              <w:tabs>
                <w:tab w:val="left" w:pos="486"/>
              </w:tabs>
              <w:spacing w:after="0" w:line="240" w:lineRule="auto"/>
              <w:ind w:left="486" w:hanging="360"/>
              <w:rPr>
                <w:rFonts w:ascii="Arial" w:hAnsi="Arial"/>
                <w:sz w:val="16"/>
                <w:szCs w:val="16"/>
              </w:rPr>
            </w:pPr>
          </w:p>
        </w:tc>
      </w:tr>
      <w:tr w:rsidR="00897337" w:rsidRPr="00D20447">
        <w:trPr>
          <w:jc w:val="center"/>
        </w:trPr>
        <w:tc>
          <w:tcPr>
            <w:tcW w:w="2058" w:type="dxa"/>
            <w:vAlign w:val="center"/>
          </w:tcPr>
          <w:p w:rsidR="001C4C2D" w:rsidRDefault="00897337" w:rsidP="001C4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Alignment</w:t>
            </w:r>
          </w:p>
          <w:p w:rsidR="001C4C2D" w:rsidRDefault="00897337" w:rsidP="001C4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with</w:t>
            </w:r>
          </w:p>
          <w:p w:rsidR="00897337" w:rsidRPr="00D20447" w:rsidRDefault="00897337" w:rsidP="001C4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Standards</w:t>
            </w:r>
          </w:p>
          <w:p w:rsidR="00897337" w:rsidRPr="00D20447" w:rsidRDefault="00897337" w:rsidP="00897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897337" w:rsidRPr="008463AE" w:rsidRDefault="00897337" w:rsidP="00D226AC">
            <w:pPr>
              <w:autoSpaceDE w:val="0"/>
              <w:autoSpaceDN w:val="0"/>
              <w:adjustRightInd w:val="0"/>
              <w:spacing w:after="0" w:line="240" w:lineRule="auto"/>
              <w:ind w:left="408" w:hanging="360"/>
              <w:rPr>
                <w:rFonts w:ascii="Arial" w:hAnsi="Arial" w:cs="Symbol"/>
                <w:sz w:val="16"/>
                <w:szCs w:val="16"/>
              </w:rPr>
            </w:pPr>
          </w:p>
          <w:p w:rsidR="00897337" w:rsidRDefault="00897337" w:rsidP="00D226AC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Symbol"/>
                <w:sz w:val="20"/>
                <w:szCs w:val="20"/>
              </w:rPr>
              <w:t>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I</w:t>
            </w:r>
            <w:r>
              <w:rPr>
                <w:rFonts w:ascii="Arial" w:hAnsi="Arial" w:cs="Times-Roman"/>
                <w:sz w:val="20"/>
                <w:szCs w:val="20"/>
              </w:rPr>
              <w:t>nstructional sequences address the GSE/GLE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s</w:t>
            </w:r>
            <w:r>
              <w:rPr>
                <w:rFonts w:ascii="Arial" w:hAnsi="Arial" w:cs="Times-Roman"/>
                <w:sz w:val="20"/>
                <w:szCs w:val="20"/>
              </w:rPr>
              <w:t>.</w:t>
            </w:r>
          </w:p>
          <w:p w:rsidR="00897337" w:rsidRPr="008463AE" w:rsidRDefault="00897337" w:rsidP="00D226AC">
            <w:pPr>
              <w:autoSpaceDE w:val="0"/>
              <w:autoSpaceDN w:val="0"/>
              <w:adjustRightInd w:val="0"/>
              <w:spacing w:after="0" w:line="240" w:lineRule="auto"/>
              <w:ind w:left="408" w:hanging="360"/>
              <w:rPr>
                <w:rFonts w:ascii="Arial" w:hAnsi="Arial" w:cs="Times-Roman"/>
                <w:sz w:val="16"/>
                <w:szCs w:val="16"/>
              </w:rPr>
            </w:pPr>
          </w:p>
          <w:p w:rsidR="00897337" w:rsidRPr="008F0C3A" w:rsidRDefault="00897337" w:rsidP="00D226AC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Times-Roman"/>
                <w:sz w:val="20"/>
                <w:szCs w:val="20"/>
              </w:rPr>
            </w:pPr>
            <w:r>
              <w:rPr>
                <w:rFonts w:ascii="Arial" w:hAnsi="Arial" w:cs="Symbol"/>
                <w:sz w:val="20"/>
                <w:szCs w:val="20"/>
              </w:rPr>
              <w:t xml:space="preserve">The </w:t>
            </w:r>
            <w:r w:rsidRPr="008F0C3A">
              <w:rPr>
                <w:rFonts w:ascii="Arial" w:hAnsi="Arial" w:cs="Symbol"/>
                <w:sz w:val="20"/>
                <w:szCs w:val="20"/>
              </w:rPr>
              <w:t></w:t>
            </w:r>
            <w:r>
              <w:rPr>
                <w:rFonts w:ascii="Arial" w:hAnsi="Arial" w:cs="Times-Roman"/>
                <w:sz w:val="20"/>
                <w:szCs w:val="20"/>
              </w:rPr>
              <w:t>GSE/GLE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s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are used throughout the development of the unit plan.</w:t>
            </w:r>
          </w:p>
          <w:p w:rsidR="00897337" w:rsidRPr="008463AE" w:rsidRDefault="00897337" w:rsidP="00D226AC">
            <w:pPr>
              <w:autoSpaceDE w:val="0"/>
              <w:autoSpaceDN w:val="0"/>
              <w:adjustRightInd w:val="0"/>
              <w:spacing w:after="0" w:line="240" w:lineRule="auto"/>
              <w:ind w:left="408" w:hanging="360"/>
              <w:rPr>
                <w:rFonts w:ascii="Arial" w:hAnsi="Arial" w:cs="Symbol"/>
                <w:sz w:val="16"/>
                <w:szCs w:val="16"/>
              </w:rPr>
            </w:pPr>
          </w:p>
          <w:p w:rsidR="00897337" w:rsidRPr="008F0C3A" w:rsidRDefault="00897337" w:rsidP="00D226AC"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Symbol"/>
                <w:sz w:val="20"/>
                <w:szCs w:val="20"/>
              </w:rPr>
              <w:t xml:space="preserve">The </w:t>
            </w:r>
            <w:r>
              <w:rPr>
                <w:rFonts w:ascii="Arial" w:hAnsi="Arial"/>
                <w:sz w:val="20"/>
                <w:szCs w:val="20"/>
              </w:rPr>
              <w:t>GSE/GLE</w:t>
            </w:r>
            <w:r w:rsidRPr="008F0C3A">
              <w:rPr>
                <w:rFonts w:ascii="Arial" w:hAnsi="Arial"/>
                <w:sz w:val="20"/>
                <w:szCs w:val="20"/>
              </w:rPr>
              <w:t>s are assessed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897337" w:rsidRPr="008463AE" w:rsidRDefault="00897337" w:rsidP="00D226AC">
            <w:pPr>
              <w:spacing w:after="0" w:line="240" w:lineRule="auto"/>
              <w:ind w:left="408" w:hanging="36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868" w:type="dxa"/>
            <w:vAlign w:val="center"/>
          </w:tcPr>
          <w:p w:rsidR="00897337" w:rsidRPr="008F0C3A" w:rsidRDefault="00897337" w:rsidP="00D226AC">
            <w:pPr>
              <w:numPr>
                <w:ilvl w:val="0"/>
                <w:numId w:val="6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  <w:r w:rsidR="008463AE" w:rsidRPr="001C4C2D">
              <w:rPr>
                <w:rFonts w:ascii="Arial" w:hAnsi="Arial" w:cs="Times-Roman"/>
                <w:b/>
                <w:sz w:val="20"/>
                <w:szCs w:val="20"/>
              </w:rPr>
              <w:t>Practitioner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I</w:t>
            </w:r>
            <w:r w:rsidRPr="008F0C3A">
              <w:rPr>
                <w:rFonts w:ascii="Arial" w:hAnsi="Arial" w:cs="Times-Roman"/>
                <w:sz w:val="20"/>
                <w:szCs w:val="20"/>
              </w:rPr>
              <w:t xml:space="preserve">dentified </w:t>
            </w:r>
            <w:r>
              <w:rPr>
                <w:rFonts w:ascii="Arial" w:hAnsi="Arial" w:cs="Times-Roman"/>
                <w:sz w:val="20"/>
                <w:szCs w:val="20"/>
              </w:rPr>
              <w:t>GSE/GLE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s appropriately reflect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what the student is expected to learn.</w:t>
            </w:r>
          </w:p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Pr="008F0C3A" w:rsidRDefault="008463AE" w:rsidP="00D226AC">
            <w:pPr>
              <w:numPr>
                <w:ilvl w:val="0"/>
                <w:numId w:val="6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1C4C2D">
              <w:rPr>
                <w:rFonts w:ascii="Arial" w:hAnsi="Arial" w:cs="Times-Roman"/>
                <w:b/>
                <w:sz w:val="20"/>
                <w:szCs w:val="20"/>
              </w:rPr>
              <w:t>Apprentice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– I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 xml:space="preserve">dentified </w:t>
            </w:r>
            <w:r w:rsidR="00897337">
              <w:rPr>
                <w:rFonts w:ascii="Arial" w:hAnsi="Arial" w:cs="Times-Roman"/>
                <w:sz w:val="20"/>
                <w:szCs w:val="20"/>
              </w:rPr>
              <w:t>GSE/GLE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s somewhat</w:t>
            </w:r>
            <w:r w:rsidR="00897337">
              <w:rPr>
                <w:rFonts w:ascii="Arial" w:hAnsi="Arial" w:cs="Times-Roman"/>
                <w:sz w:val="20"/>
                <w:szCs w:val="20"/>
              </w:rPr>
              <w:t xml:space="preserve"> 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appropriately reflect what the student is expected to</w:t>
            </w:r>
            <w:r w:rsidR="00897337">
              <w:rPr>
                <w:rFonts w:ascii="Arial" w:hAnsi="Arial" w:cs="Times-Roman"/>
                <w:sz w:val="20"/>
                <w:szCs w:val="20"/>
              </w:rPr>
              <w:t xml:space="preserve"> 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learn.</w:t>
            </w:r>
          </w:p>
          <w:p w:rsidR="00897337" w:rsidRPr="008463AE" w:rsidRDefault="00897337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Pr="008F0C3A" w:rsidRDefault="008463AE" w:rsidP="00D226AC">
            <w:pPr>
              <w:numPr>
                <w:ilvl w:val="0"/>
                <w:numId w:val="6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/>
                <w:sz w:val="20"/>
              </w:rPr>
            </w:pPr>
            <w:r w:rsidRPr="001C4C2D">
              <w:rPr>
                <w:rFonts w:ascii="Arial" w:hAnsi="Arial" w:cs="Times-Roman"/>
                <w:b/>
                <w:sz w:val="20"/>
                <w:szCs w:val="20"/>
              </w:rPr>
              <w:t>Novice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 – I</w:t>
            </w:r>
            <w:r w:rsidR="00897337">
              <w:rPr>
                <w:rFonts w:ascii="Arial" w:hAnsi="Arial" w:cs="Times-Roman"/>
                <w:sz w:val="20"/>
                <w:szCs w:val="20"/>
              </w:rPr>
              <w:t>dentified GSE/GLE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s do not reflect what the</w:t>
            </w:r>
            <w:r w:rsidR="00897337">
              <w:rPr>
                <w:rFonts w:ascii="Arial" w:hAnsi="Arial" w:cs="Times-Roman"/>
                <w:sz w:val="20"/>
                <w:szCs w:val="20"/>
              </w:rPr>
              <w:t xml:space="preserve"> </w:t>
            </w:r>
            <w:r w:rsidR="00897337" w:rsidRPr="008F0C3A">
              <w:rPr>
                <w:rFonts w:ascii="Arial" w:hAnsi="Arial" w:cs="Times-Roman"/>
                <w:sz w:val="20"/>
                <w:szCs w:val="20"/>
              </w:rPr>
              <w:t>student is expected to learn.</w:t>
            </w:r>
          </w:p>
        </w:tc>
      </w:tr>
      <w:tr w:rsidR="00897337" w:rsidRPr="00D20447">
        <w:trPr>
          <w:jc w:val="center"/>
        </w:trPr>
        <w:tc>
          <w:tcPr>
            <w:tcW w:w="2058" w:type="dxa"/>
            <w:vAlign w:val="center"/>
          </w:tcPr>
          <w:p w:rsidR="001C4C2D" w:rsidRDefault="001C4C2D" w:rsidP="00897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Unit</w:t>
            </w:r>
          </w:p>
          <w:p w:rsidR="00897337" w:rsidRPr="00D20447" w:rsidRDefault="00897337" w:rsidP="00897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>
              <w:rPr>
                <w:rFonts w:ascii="Times-Bold" w:hAnsi="Times-Bold" w:cs="Times-Bold"/>
                <w:b/>
                <w:bCs/>
                <w:sz w:val="28"/>
                <w:szCs w:val="28"/>
              </w:rPr>
              <w:t>Design</w:t>
            </w:r>
          </w:p>
          <w:p w:rsidR="00897337" w:rsidRPr="00D20447" w:rsidRDefault="00897337" w:rsidP="00897337">
            <w:pPr>
              <w:spacing w:after="0" w:line="240" w:lineRule="auto"/>
              <w:jc w:val="center"/>
            </w:pPr>
          </w:p>
        </w:tc>
        <w:tc>
          <w:tcPr>
            <w:tcW w:w="2622" w:type="dxa"/>
            <w:vAlign w:val="center"/>
          </w:tcPr>
          <w:p w:rsidR="00897337" w:rsidRDefault="00897337" w:rsidP="00D226AC">
            <w:pPr>
              <w:numPr>
                <w:ilvl w:val="0"/>
                <w:numId w:val="9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Symbol"/>
                <w:sz w:val="20"/>
                <w:szCs w:val="20"/>
              </w:rPr>
              <w:t></w:t>
            </w:r>
            <w:r>
              <w:rPr>
                <w:rFonts w:ascii="Arial" w:hAnsi="Arial" w:cs="Times-Roman"/>
                <w:sz w:val="20"/>
                <w:szCs w:val="20"/>
              </w:rPr>
              <w:t>Evidence of UBD is present.</w:t>
            </w:r>
          </w:p>
          <w:p w:rsidR="00897337" w:rsidRPr="008463AE" w:rsidRDefault="00897337" w:rsidP="00D226AC">
            <w:pPr>
              <w:autoSpaceDE w:val="0"/>
              <w:autoSpaceDN w:val="0"/>
              <w:adjustRightInd w:val="0"/>
              <w:spacing w:after="0" w:line="240" w:lineRule="auto"/>
              <w:ind w:left="408" w:hanging="360"/>
              <w:rPr>
                <w:rFonts w:ascii="Arial" w:hAnsi="Arial" w:cs="Times-Roman"/>
                <w:sz w:val="16"/>
                <w:szCs w:val="16"/>
              </w:rPr>
            </w:pPr>
          </w:p>
          <w:p w:rsidR="00897337" w:rsidRPr="008F0C3A" w:rsidRDefault="00897337" w:rsidP="00D226AC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08"/>
              <w:rPr>
                <w:rFonts w:ascii="Arial" w:hAnsi="Arial"/>
                <w:sz w:val="20"/>
              </w:rPr>
            </w:pPr>
            <w:r w:rsidRPr="008F0C3A">
              <w:rPr>
                <w:rFonts w:ascii="Arial" w:hAnsi="Arial" w:cs="Symbol"/>
                <w:sz w:val="20"/>
                <w:szCs w:val="20"/>
              </w:rPr>
              <w:t></w:t>
            </w:r>
            <w:r>
              <w:rPr>
                <w:rFonts w:ascii="Arial" w:hAnsi="Arial"/>
                <w:sz w:val="20"/>
                <w:szCs w:val="20"/>
              </w:rPr>
              <w:t>Evidence of IFL is present.</w:t>
            </w:r>
          </w:p>
        </w:tc>
        <w:tc>
          <w:tcPr>
            <w:tcW w:w="5868" w:type="dxa"/>
            <w:vAlign w:val="center"/>
          </w:tcPr>
          <w:p w:rsidR="008463AE" w:rsidRPr="008463AE" w:rsidRDefault="008463AE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Wingdings"/>
                <w:sz w:val="16"/>
                <w:szCs w:val="16"/>
              </w:rPr>
            </w:pPr>
          </w:p>
          <w:p w:rsidR="00897337" w:rsidRDefault="00897337" w:rsidP="00D226AC">
            <w:pPr>
              <w:numPr>
                <w:ilvl w:val="0"/>
                <w:numId w:val="9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  <w:r w:rsidR="008463AE" w:rsidRPr="001C4C2D">
              <w:rPr>
                <w:rFonts w:ascii="Arial" w:hAnsi="Arial" w:cs="Times-Roman"/>
                <w:b/>
                <w:sz w:val="20"/>
                <w:szCs w:val="20"/>
              </w:rPr>
              <w:t>Practitioner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T</w:t>
            </w:r>
            <w:r>
              <w:rPr>
                <w:rFonts w:ascii="Arial" w:hAnsi="Arial" w:cs="Times-Roman"/>
                <w:sz w:val="20"/>
                <w:szCs w:val="20"/>
              </w:rPr>
              <w:t>here is a complete integration of research based practice</w:t>
            </w:r>
            <w:r w:rsidRPr="008F0C3A">
              <w:rPr>
                <w:rFonts w:ascii="Arial" w:hAnsi="Arial" w:cs="Times-Roman"/>
                <w:sz w:val="20"/>
                <w:szCs w:val="20"/>
              </w:rPr>
              <w:t>.</w:t>
            </w:r>
          </w:p>
          <w:p w:rsidR="008463AE" w:rsidRPr="008F0C3A" w:rsidRDefault="008463AE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Times-Roman"/>
                <w:sz w:val="20"/>
                <w:szCs w:val="20"/>
              </w:rPr>
            </w:pPr>
          </w:p>
          <w:p w:rsidR="00897337" w:rsidRDefault="00897337" w:rsidP="00D226AC">
            <w:pPr>
              <w:numPr>
                <w:ilvl w:val="0"/>
                <w:numId w:val="8"/>
              </w:num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/>
              <w:rPr>
                <w:rFonts w:ascii="Arial" w:hAnsi="Arial" w:cs="Times-Roman"/>
                <w:sz w:val="20"/>
                <w:szCs w:val="20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  <w:r w:rsidR="008463AE" w:rsidRPr="001C4C2D">
              <w:rPr>
                <w:rFonts w:ascii="Arial" w:hAnsi="Arial" w:cs="Times-Roman"/>
                <w:b/>
                <w:sz w:val="20"/>
                <w:szCs w:val="20"/>
              </w:rPr>
              <w:t>Apprentice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T</w:t>
            </w:r>
            <w:r>
              <w:rPr>
                <w:rFonts w:ascii="Arial" w:hAnsi="Arial" w:cs="Times-Roman"/>
                <w:sz w:val="20"/>
                <w:szCs w:val="20"/>
              </w:rPr>
              <w:t xml:space="preserve">here is an attempt at integration of research based practice but </w:t>
            </w:r>
            <w:r w:rsidR="001C4C2D">
              <w:rPr>
                <w:rFonts w:ascii="Arial" w:hAnsi="Arial" w:cs="Times-Roman"/>
                <w:sz w:val="20"/>
                <w:szCs w:val="20"/>
              </w:rPr>
              <w:t>the integration is unclear</w:t>
            </w:r>
            <w:r w:rsidR="008463AE">
              <w:rPr>
                <w:rFonts w:ascii="Arial" w:hAnsi="Arial" w:cs="Times-Roman"/>
                <w:sz w:val="20"/>
                <w:szCs w:val="20"/>
              </w:rPr>
              <w:t>.</w:t>
            </w:r>
          </w:p>
          <w:p w:rsidR="008463AE" w:rsidRPr="008F0C3A" w:rsidRDefault="008463AE" w:rsidP="00D226AC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486" w:hanging="360"/>
              <w:rPr>
                <w:rFonts w:ascii="Arial" w:hAnsi="Arial" w:cs="Times-Roman"/>
                <w:sz w:val="20"/>
                <w:szCs w:val="20"/>
              </w:rPr>
            </w:pPr>
          </w:p>
          <w:p w:rsidR="00897337" w:rsidRPr="004054EB" w:rsidRDefault="00897337" w:rsidP="00D226AC">
            <w:pPr>
              <w:numPr>
                <w:ilvl w:val="0"/>
                <w:numId w:val="7"/>
              </w:numPr>
              <w:tabs>
                <w:tab w:val="left" w:pos="486"/>
              </w:tabs>
              <w:spacing w:after="0" w:line="240" w:lineRule="auto"/>
              <w:ind w:left="486"/>
              <w:rPr>
                <w:rFonts w:ascii="Arial" w:hAnsi="Arial"/>
                <w:sz w:val="20"/>
              </w:rPr>
            </w:pPr>
            <w:r w:rsidRPr="008F0C3A">
              <w:rPr>
                <w:rFonts w:ascii="Arial" w:hAnsi="Arial" w:cs="Wingdings"/>
                <w:sz w:val="20"/>
                <w:szCs w:val="20"/>
              </w:rPr>
              <w:t></w:t>
            </w:r>
            <w:r w:rsidR="008463AE" w:rsidRPr="001C4C2D">
              <w:rPr>
                <w:rFonts w:ascii="Arial" w:hAnsi="Arial" w:cs="Times-Roman"/>
                <w:b/>
                <w:sz w:val="20"/>
                <w:szCs w:val="20"/>
              </w:rPr>
              <w:t>Novice</w:t>
            </w:r>
            <w:r w:rsidR="008463AE">
              <w:rPr>
                <w:rFonts w:ascii="Arial" w:hAnsi="Arial" w:cs="Times-Roman"/>
                <w:sz w:val="20"/>
                <w:szCs w:val="20"/>
              </w:rPr>
              <w:t xml:space="preserve"> – T</w:t>
            </w:r>
            <w:r>
              <w:rPr>
                <w:rFonts w:ascii="Arial" w:hAnsi="Arial" w:cs="Times-Roman"/>
                <w:sz w:val="20"/>
                <w:szCs w:val="20"/>
              </w:rPr>
              <w:t>here is little evidence of research based practice due to lack of integration.</w:t>
            </w:r>
          </w:p>
          <w:p w:rsidR="004054EB" w:rsidRPr="004054EB" w:rsidRDefault="004054EB" w:rsidP="004054EB">
            <w:pPr>
              <w:tabs>
                <w:tab w:val="left" w:pos="486"/>
              </w:tabs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412EF3" w:rsidRDefault="00412EF3"/>
    <w:sectPr w:rsidR="00412EF3" w:rsidSect="00BB6D24">
      <w:footerReference w:type="default" r:id="rId7"/>
      <w:pgSz w:w="12240" w:h="15840"/>
      <w:pgMar w:top="12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DC5" w:rsidRDefault="002D2DC5">
      <w:pPr>
        <w:spacing w:after="0" w:line="240" w:lineRule="auto"/>
      </w:pPr>
      <w:r>
        <w:separator/>
      </w:r>
    </w:p>
  </w:endnote>
  <w:endnote w:type="continuationSeparator" w:id="1">
    <w:p w:rsidR="002D2DC5" w:rsidRDefault="002D2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D24" w:rsidRDefault="00BB6D24">
    <w:pPr>
      <w:pStyle w:val="Footer"/>
    </w:pPr>
    <w:r>
      <w:t>Revised July,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DC5" w:rsidRDefault="002D2DC5">
      <w:pPr>
        <w:spacing w:after="0" w:line="240" w:lineRule="auto"/>
      </w:pPr>
      <w:r>
        <w:separator/>
      </w:r>
    </w:p>
  </w:footnote>
  <w:footnote w:type="continuationSeparator" w:id="1">
    <w:p w:rsidR="002D2DC5" w:rsidRDefault="002D2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22ED"/>
    <w:multiLevelType w:val="hybridMultilevel"/>
    <w:tmpl w:val="82A45B26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F522C"/>
    <w:multiLevelType w:val="multilevel"/>
    <w:tmpl w:val="E950451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293484"/>
    <w:multiLevelType w:val="multilevel"/>
    <w:tmpl w:val="010EB58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B53DD"/>
    <w:multiLevelType w:val="hybridMultilevel"/>
    <w:tmpl w:val="010EB586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160457"/>
    <w:multiLevelType w:val="hybridMultilevel"/>
    <w:tmpl w:val="E9504514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101807"/>
    <w:multiLevelType w:val="hybridMultilevel"/>
    <w:tmpl w:val="71D0C492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B04B87"/>
    <w:multiLevelType w:val="hybridMultilevel"/>
    <w:tmpl w:val="723CF792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557081"/>
    <w:multiLevelType w:val="hybridMultilevel"/>
    <w:tmpl w:val="8070C604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0F1A79"/>
    <w:multiLevelType w:val="hybridMultilevel"/>
    <w:tmpl w:val="B9A4414C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073B58"/>
    <w:multiLevelType w:val="hybridMultilevel"/>
    <w:tmpl w:val="56E280AA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2772BF"/>
    <w:multiLevelType w:val="hybridMultilevel"/>
    <w:tmpl w:val="365CBDA8"/>
    <w:lvl w:ilvl="0" w:tplc="3546333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EF3"/>
    <w:rsid w:val="000F4DB8"/>
    <w:rsid w:val="001C4C2D"/>
    <w:rsid w:val="002B71ED"/>
    <w:rsid w:val="002D2DC5"/>
    <w:rsid w:val="002E3A7D"/>
    <w:rsid w:val="004054EB"/>
    <w:rsid w:val="00405F9F"/>
    <w:rsid w:val="00412EF3"/>
    <w:rsid w:val="005243B6"/>
    <w:rsid w:val="00665FE8"/>
    <w:rsid w:val="008463AE"/>
    <w:rsid w:val="00897337"/>
    <w:rsid w:val="009F7E9D"/>
    <w:rsid w:val="00AD104C"/>
    <w:rsid w:val="00B16932"/>
    <w:rsid w:val="00B721DD"/>
    <w:rsid w:val="00BB6D24"/>
    <w:rsid w:val="00D04317"/>
    <w:rsid w:val="00D226AC"/>
    <w:rsid w:val="00E7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EF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B6D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6D2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Unit of Study Rubric</vt:lpstr>
    </vt:vector>
  </TitlesOfParts>
  <Company>Warwick Public Schools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Unit of Study Rubric</dc:title>
  <dc:subject/>
  <dc:creator>IS</dc:creator>
  <cp:keywords/>
  <dc:description/>
  <cp:lastModifiedBy>Owner</cp:lastModifiedBy>
  <cp:revision>2</cp:revision>
  <dcterms:created xsi:type="dcterms:W3CDTF">2011-07-02T11:52:00Z</dcterms:created>
  <dcterms:modified xsi:type="dcterms:W3CDTF">2011-07-02T11:52:00Z</dcterms:modified>
</cp:coreProperties>
</file>